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12 avril 2021</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01/04/2021</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et un, le 12 avril à 20h30, le Conseil Municipal de la commune, régulièrement convoqué, s’est réuni au nombre prescrit par la loi, dans le lieu habituel de ses séances, sous la présidence de Monsieur Jean-Luc POYADE, Maire.</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FARGE, GOUTAGNY, CHAMBON, PONTONIER, THIOLLIER, BOUARD, PERRET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GUILLOT, CHAPELAND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MME CONSEILLON (pouvoir à JL POYADE)</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pPr>
      <w:r>
        <w:rPr/>
      </w:r>
    </w:p>
    <w:p>
      <w:pPr>
        <w:pStyle w:val="Titredlib"/>
        <w:numPr>
          <w:ilvl w:val="0"/>
          <w:numId w:val="5"/>
        </w:numPr>
        <w:rPr>
          <w:u w:val="single"/>
          <w:lang w:val="fr-FR"/>
        </w:rPr>
      </w:pPr>
      <w:r>
        <w:rPr>
          <w:u w:val="single"/>
          <w:lang w:val="fr-FR"/>
        </w:rPr>
        <w:t>finances : approbation du compte administratif et compte de gestion</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sz w:val="22"/>
          <w:szCs w:val="22"/>
        </w:rPr>
      </w:pPr>
      <w:r>
        <w:rPr>
          <w:rFonts w:eastAsia="Symbol" w:cs="Symbol" w:ascii="Symbol" w:hAnsi="Symbol"/>
          <w:sz w:val="22"/>
          <w:szCs w:val="22"/>
        </w:rPr>
        <w:t></w:t>
      </w:r>
      <w:r>
        <w:rPr>
          <w:rFonts w:ascii="Bookman Old Style" w:hAnsi="Bookman Old Style"/>
          <w:sz w:val="22"/>
          <w:szCs w:val="22"/>
        </w:rPr>
        <w:t xml:space="preserve"> </w:t>
      </w:r>
      <w:r>
        <w:rPr>
          <w:rFonts w:ascii="Bookman Old Style" w:hAnsi="Bookman Old Style"/>
          <w:sz w:val="22"/>
          <w:szCs w:val="22"/>
        </w:rPr>
        <w:t>COMMUNE</w:t>
      </w:r>
    </w:p>
    <w:p>
      <w:pPr>
        <w:pStyle w:val="Normal"/>
        <w:jc w:val="both"/>
        <w:rPr>
          <w:rFonts w:ascii="Bookman Old Style" w:hAnsi="Bookman Old Style"/>
          <w:sz w:val="22"/>
          <w:szCs w:val="22"/>
          <w:lang w:eastAsia="fr-FR"/>
        </w:rPr>
      </w:pPr>
      <w:r>
        <w:rPr>
          <w:rFonts w:ascii="Bookman Old Style" w:hAnsi="Bookman Old Style"/>
          <w:sz w:val="22"/>
          <w:szCs w:val="22"/>
        </w:rPr>
        <w:t>Le conseil municipal réuni sous la présidence de M. JEAN-LUC POYADE, délibérant sur le compte ADMINISTRATIF de la commune pour l'exercice 2020, dressé par M.POYADE :</w:t>
      </w:r>
    </w:p>
    <w:p>
      <w:pPr>
        <w:pStyle w:val="Normal"/>
        <w:jc w:val="both"/>
        <w:rPr>
          <w:rFonts w:ascii="Bookman Old Style" w:hAnsi="Bookman Old Style"/>
          <w:sz w:val="22"/>
          <w:szCs w:val="22"/>
        </w:rPr>
      </w:pPr>
      <w:r>
        <w:rPr>
          <w:rFonts w:ascii="Bookman Old Style" w:hAnsi="Bookman Old Style"/>
          <w:sz w:val="22"/>
          <w:szCs w:val="22"/>
        </w:rPr>
        <w:t xml:space="preserve">*après s'être fait présenter le budget primitif de l'exercice considéré, </w:t>
      </w:r>
    </w:p>
    <w:p>
      <w:pPr>
        <w:pStyle w:val="Normal"/>
        <w:jc w:val="both"/>
        <w:rPr>
          <w:rFonts w:ascii="Bookman Old Style" w:hAnsi="Bookman Old Style"/>
          <w:sz w:val="22"/>
          <w:szCs w:val="22"/>
        </w:rPr>
      </w:pPr>
      <w:r>
        <w:rPr>
          <w:rFonts w:ascii="Bookman Old Style" w:hAnsi="Bookman Old Style"/>
          <w:sz w:val="22"/>
          <w:szCs w:val="22"/>
        </w:rPr>
        <w:t>*après s'être fait présenter le compte de gestion dressé par le comptable, visé et certifié par l'ordonnateur comme étant conforme aux écritures de la comptabilité administrative.</w:t>
      </w:r>
    </w:p>
    <w:p>
      <w:pPr>
        <w:pStyle w:val="Normal"/>
        <w:jc w:val="both"/>
        <w:rPr>
          <w:rFonts w:ascii="Bookman Old Style" w:hAnsi="Bookman Old Style"/>
          <w:sz w:val="22"/>
          <w:szCs w:val="22"/>
        </w:rPr>
      </w:pPr>
      <w:r>
        <w:rPr>
          <w:rFonts w:ascii="Bookman Old Style" w:hAnsi="Bookman Old Style"/>
          <w:sz w:val="22"/>
          <w:szCs w:val="22"/>
        </w:rPr>
      </w:r>
    </w:p>
    <w:p>
      <w:pPr>
        <w:pStyle w:val="Normal"/>
        <w:jc w:val="both"/>
        <w:rPr>
          <w:rFonts w:ascii="Bookman Old Style" w:hAnsi="Bookman Old Style" w:cs="Arial"/>
          <w:sz w:val="22"/>
          <w:szCs w:val="22"/>
          <w:lang w:eastAsia="zh-TW"/>
        </w:rPr>
      </w:pPr>
      <w:r>
        <w:rPr>
          <w:rFonts w:ascii="Bookman Old Style" w:hAnsi="Bookman Old Style"/>
          <w:sz w:val="22"/>
          <w:szCs w:val="22"/>
        </w:rPr>
        <w:t>DONNE acte de la présentation du compte administratif, lequel peut se résumer ainsi</w:t>
      </w:r>
      <w:r>
        <w:rPr>
          <w:rFonts w:cs="Arial" w:ascii="Bookman Old Style" w:hAnsi="Bookman Old Style"/>
          <w:sz w:val="22"/>
          <w:szCs w:val="22"/>
          <w:lang w:eastAsia="zh-TW"/>
        </w:rPr>
        <w:t>:</w:t>
      </w:r>
    </w:p>
    <w:p>
      <w:pPr>
        <w:pStyle w:val="Normal"/>
        <w:jc w:val="center"/>
        <w:rPr>
          <w:rFonts w:ascii="Arial" w:hAnsi="Arial" w:cs="Arial"/>
          <w:sz w:val="14"/>
          <w:szCs w:val="14"/>
          <w:lang w:eastAsia="zh-TW"/>
        </w:rPr>
      </w:pPr>
      <w:r>
        <w:rPr>
          <w:rFonts w:cs="Arial" w:ascii="Arial" w:hAnsi="Arial"/>
          <w:sz w:val="14"/>
          <w:szCs w:val="14"/>
          <w:lang w:eastAsia="zh-TW"/>
        </w:rPr>
      </w:r>
    </w:p>
    <w:tbl>
      <w:tblPr>
        <w:tblW w:w="10316" w:type="dxa"/>
        <w:jc w:val="lef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3115"/>
        <w:gridCol w:w="1661"/>
        <w:gridCol w:w="1662"/>
        <w:gridCol w:w="284"/>
        <w:gridCol w:w="1753"/>
        <w:gridCol w:w="1840"/>
      </w:tblGrid>
      <w:tr>
        <w:trPr>
          <w:trHeight w:val="269" w:hRule="atLeast"/>
        </w:trPr>
        <w:tc>
          <w:tcPr>
            <w:tcW w:w="31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LIBELLE</w:t>
            </w:r>
          </w:p>
        </w:tc>
        <w:tc>
          <w:tcPr>
            <w:tcW w:w="3323"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FONCTIONNEMENT</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35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INVESTISSEMENT</w:t>
            </w:r>
          </w:p>
        </w:tc>
      </w:tr>
      <w:tr>
        <w:trPr>
          <w:trHeight w:val="539" w:hRule="atLeast"/>
        </w:trPr>
        <w:tc>
          <w:tcPr>
            <w:tcW w:w="31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DEPENSE OU DEFICIT</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RECETTES OU EXCEDENT</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DEPENSE OU DEFICIT</w:t>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RECETTES OU EXCEDENT</w:t>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Résultats reportés</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142 235.71 €</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106 513.96 €</w:t>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Part affectée à investiss</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Opérations de l'exercice</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rPr>
              <w:t>251 335.24 €</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287 224.39 €</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281 141.13€</w:t>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157 309.65€</w:t>
            </w:r>
          </w:p>
        </w:tc>
      </w:tr>
      <w:tr>
        <w:trPr>
          <w:trHeight w:val="269" w:hRule="atLeast"/>
        </w:trPr>
        <w:tc>
          <w:tcPr>
            <w:tcW w:w="3115"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Totaux</w:t>
            </w:r>
          </w:p>
        </w:tc>
        <w:tc>
          <w:tcPr>
            <w:tcW w:w="1661"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rPr>
              <w:t>251 335.24 €</w:t>
            </w:r>
          </w:p>
        </w:tc>
        <w:tc>
          <w:tcPr>
            <w:tcW w:w="1662"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429 460.10 €</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281 141.13 €</w:t>
            </w:r>
          </w:p>
        </w:tc>
        <w:tc>
          <w:tcPr>
            <w:tcW w:w="1840"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263 823.61 €</w:t>
            </w:r>
          </w:p>
        </w:tc>
      </w:tr>
      <w:tr>
        <w:trPr>
          <w:trHeight w:val="287" w:hRule="atLeast"/>
        </w:trPr>
        <w:tc>
          <w:tcPr>
            <w:tcW w:w="3115"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661"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r>
      <w:tr>
        <w:trPr>
          <w:trHeight w:val="598" w:hRule="atLeast"/>
        </w:trPr>
        <w:tc>
          <w:tcPr>
            <w:tcW w:w="3115" w:type="dxa"/>
            <w:tcBorders>
              <w:left w:val="single" w:sz="4" w:space="0" w:color="000000"/>
              <w:right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Résultat de clôture</w:t>
            </w:r>
          </w:p>
        </w:tc>
        <w:tc>
          <w:tcPr>
            <w:tcW w:w="1661" w:type="dxa"/>
            <w:tcBorders>
              <w:right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right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rPr>
            </w:pPr>
            <w:r>
              <w:rPr>
                <w:rFonts w:cs="Arial" w:ascii="Bookman Old Style" w:hAnsi="Bookman Old Style"/>
                <w:b/>
                <w:bCs/>
                <w:sz w:val="16"/>
                <w:szCs w:val="16"/>
              </w:rPr>
              <w:t>178 124.86 €</w:t>
            </w:r>
          </w:p>
        </w:tc>
        <w:tc>
          <w:tcPr>
            <w:tcW w:w="284" w:type="dxa"/>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17 317.52 €</w:t>
            </w:r>
          </w:p>
        </w:tc>
        <w:tc>
          <w:tcPr>
            <w:tcW w:w="18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r>
      <w:tr>
        <w:trPr>
          <w:trHeight w:val="598"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REPORT (affectation de résultat)</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lang w:eastAsia="fr-FR"/>
              </w:rPr>
            </w:pPr>
            <w:r>
              <w:rPr>
                <w:rFonts w:cs="Arial" w:ascii="Bookman Old Style" w:hAnsi="Bookman Old Style"/>
                <w:b/>
                <w:bCs/>
                <w:sz w:val="16"/>
                <w:szCs w:val="16"/>
              </w:rPr>
              <w:t>Compte 002</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rPr>
            </w:pPr>
            <w:r>
              <w:rPr>
                <w:rFonts w:cs="Arial" w:ascii="Bookman Old Style" w:hAnsi="Bookman Old Style"/>
                <w:b/>
                <w:bCs/>
                <w:sz w:val="16"/>
                <w:szCs w:val="16"/>
              </w:rPr>
              <w:t>178 124.86 €</w:t>
            </w:r>
          </w:p>
        </w:tc>
        <w:tc>
          <w:tcPr>
            <w:tcW w:w="284" w:type="dxa"/>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Compte 001</w:t>
            </w:r>
          </w:p>
        </w:tc>
        <w:tc>
          <w:tcPr>
            <w:tcW w:w="18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17 317.52€</w:t>
            </w:r>
          </w:p>
        </w:tc>
      </w:tr>
    </w:tbl>
    <w:p>
      <w:pPr>
        <w:pStyle w:val="Normal"/>
        <w:jc w:val="center"/>
        <w:rPr>
          <w:rFonts w:ascii="Arial" w:hAnsi="Arial" w:cs="Arial"/>
          <w:sz w:val="14"/>
          <w:szCs w:val="14"/>
          <w:lang w:eastAsia="zh-TW"/>
        </w:rPr>
      </w:pPr>
      <w:r>
        <w:rPr>
          <w:rFonts w:cs="Arial" w:ascii="Arial" w:hAnsi="Arial"/>
          <w:sz w:val="14"/>
          <w:szCs w:val="14"/>
          <w:lang w:eastAsia="zh-TW"/>
        </w:rPr>
      </w:r>
    </w:p>
    <w:p>
      <w:pPr>
        <w:pStyle w:val="Normal"/>
        <w:jc w:val="both"/>
        <w:rPr>
          <w:rFonts w:ascii="Arial" w:hAnsi="Arial" w:cs="Arial"/>
          <w:sz w:val="21"/>
          <w:szCs w:val="21"/>
          <w:lang w:eastAsia="zh-TW"/>
        </w:rPr>
      </w:pPr>
      <w:r>
        <w:rPr>
          <w:rFonts w:cs="Arial" w:ascii="Arial" w:hAnsi="Arial"/>
          <w:sz w:val="21"/>
          <w:szCs w:val="21"/>
          <w:lang w:eastAsia="zh-TW"/>
        </w:rPr>
      </w:r>
    </w:p>
    <w:p>
      <w:pPr>
        <w:pStyle w:val="Normal"/>
        <w:jc w:val="both"/>
        <w:rPr/>
      </w:pPr>
      <w:r>
        <w:rPr/>
      </w:r>
    </w:p>
    <w:p>
      <w:pPr>
        <w:pStyle w:val="Normal"/>
        <w:jc w:val="both"/>
        <w:rPr/>
      </w:pPr>
      <w:r>
        <w:rPr/>
      </w:r>
    </w:p>
    <w:p>
      <w:pPr>
        <w:pStyle w:val="Normal"/>
        <w:numPr>
          <w:ilvl w:val="0"/>
          <w:numId w:val="4"/>
        </w:numPr>
        <w:jc w:val="both"/>
        <w:rPr>
          <w:bCs/>
        </w:rPr>
      </w:pPr>
      <w:r>
        <w:rPr>
          <w:bCs/>
        </w:rPr>
        <w:t>ASSAINISSEMENT</w:t>
      </w:r>
    </w:p>
    <w:p>
      <w:pPr>
        <w:pStyle w:val="Normal"/>
        <w:jc w:val="both"/>
        <w:rPr>
          <w:b/>
          <w:b/>
          <w:u w:val="single"/>
        </w:rPr>
      </w:pPr>
      <w:r>
        <w:rPr>
          <w:b/>
          <w:u w:val="single"/>
        </w:rPr>
      </w:r>
    </w:p>
    <w:p>
      <w:pPr>
        <w:pStyle w:val="Normal"/>
        <w:jc w:val="both"/>
        <w:rPr>
          <w:bCs/>
        </w:rPr>
      </w:pPr>
      <w:r>
        <w:rPr>
          <w:bCs/>
        </w:rPr>
      </w:r>
    </w:p>
    <w:p>
      <w:pPr>
        <w:pStyle w:val="Normal"/>
        <w:jc w:val="both"/>
        <w:rPr>
          <w:rFonts w:ascii="Bookman Old Style" w:hAnsi="Bookman Old Style"/>
          <w:sz w:val="22"/>
          <w:szCs w:val="22"/>
          <w:lang w:eastAsia="fr-FR"/>
        </w:rPr>
      </w:pPr>
      <w:r>
        <w:rPr>
          <w:rFonts w:ascii="Bookman Old Style" w:hAnsi="Bookman Old Style"/>
          <w:sz w:val="22"/>
          <w:szCs w:val="22"/>
        </w:rPr>
        <w:t>Le conseil municipal réuni sous la présidence de M. JEAN-LUC POYADE, délibérant sur le compte ADMINISTRATIF de l’assainissement pour l'exercice 2020, dressé par M.POYADE :</w:t>
      </w:r>
    </w:p>
    <w:p>
      <w:pPr>
        <w:pStyle w:val="Normal"/>
        <w:jc w:val="both"/>
        <w:rPr>
          <w:rFonts w:ascii="Bookman Old Style" w:hAnsi="Bookman Old Style"/>
          <w:sz w:val="22"/>
          <w:szCs w:val="22"/>
        </w:rPr>
      </w:pPr>
      <w:r>
        <w:rPr>
          <w:rFonts w:ascii="Bookman Old Style" w:hAnsi="Bookman Old Style"/>
          <w:sz w:val="22"/>
          <w:szCs w:val="22"/>
        </w:rPr>
        <w:t xml:space="preserve">*après s'être fait présenter le budget primitif de l'exercice considéré, </w:t>
      </w:r>
    </w:p>
    <w:p>
      <w:pPr>
        <w:pStyle w:val="Normal"/>
        <w:jc w:val="both"/>
        <w:rPr>
          <w:rFonts w:ascii="Bookman Old Style" w:hAnsi="Bookman Old Style"/>
          <w:sz w:val="22"/>
          <w:szCs w:val="22"/>
        </w:rPr>
      </w:pPr>
      <w:r>
        <w:rPr>
          <w:rFonts w:ascii="Bookman Old Style" w:hAnsi="Bookman Old Style"/>
          <w:sz w:val="22"/>
          <w:szCs w:val="22"/>
        </w:rPr>
        <w:t>*après s'être fait présenter le compte de gestion dressé par le comptable, visé et certifié par l'ordonnateur comme étant conforme aux écritures de la comptabilité administrative.</w:t>
      </w:r>
    </w:p>
    <w:p>
      <w:pPr>
        <w:pStyle w:val="Normal"/>
        <w:jc w:val="both"/>
        <w:rPr>
          <w:rFonts w:ascii="Bookman Old Style" w:hAnsi="Bookman Old Style"/>
          <w:sz w:val="22"/>
          <w:szCs w:val="22"/>
        </w:rPr>
      </w:pPr>
      <w:r>
        <w:rPr>
          <w:rFonts w:ascii="Bookman Old Style" w:hAnsi="Bookman Old Style"/>
          <w:sz w:val="22"/>
          <w:szCs w:val="22"/>
        </w:rPr>
      </w:r>
    </w:p>
    <w:p>
      <w:pPr>
        <w:pStyle w:val="Normal"/>
        <w:jc w:val="both"/>
        <w:rPr>
          <w:rFonts w:ascii="Bookman Old Style" w:hAnsi="Bookman Old Style" w:cs="Arial"/>
          <w:sz w:val="22"/>
          <w:szCs w:val="22"/>
          <w:lang w:eastAsia="zh-TW"/>
        </w:rPr>
      </w:pPr>
      <w:r>
        <w:rPr>
          <w:rFonts w:ascii="Bookman Old Style" w:hAnsi="Bookman Old Style"/>
          <w:sz w:val="22"/>
          <w:szCs w:val="22"/>
        </w:rPr>
        <w:t>DONNE acte de la présentation du compte administratif, lequel peut se résumer ainsi</w:t>
      </w:r>
      <w:r>
        <w:rPr>
          <w:rFonts w:cs="Arial" w:ascii="Bookman Old Style" w:hAnsi="Bookman Old Style"/>
          <w:sz w:val="22"/>
          <w:szCs w:val="22"/>
          <w:lang w:eastAsia="zh-TW"/>
        </w:rPr>
        <w:t>:</w:t>
      </w:r>
    </w:p>
    <w:p>
      <w:pPr>
        <w:pStyle w:val="Normal"/>
        <w:jc w:val="center"/>
        <w:rPr>
          <w:rFonts w:ascii="Arial" w:hAnsi="Arial" w:cs="Arial"/>
          <w:sz w:val="14"/>
          <w:szCs w:val="14"/>
          <w:lang w:eastAsia="zh-TW"/>
        </w:rPr>
      </w:pPr>
      <w:r>
        <w:rPr>
          <w:rFonts w:cs="Arial" w:ascii="Arial" w:hAnsi="Arial"/>
          <w:sz w:val="14"/>
          <w:szCs w:val="14"/>
          <w:lang w:eastAsia="zh-TW"/>
        </w:rPr>
      </w:r>
    </w:p>
    <w:tbl>
      <w:tblPr>
        <w:tblW w:w="10316" w:type="dxa"/>
        <w:jc w:val="lef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3115"/>
        <w:gridCol w:w="1661"/>
        <w:gridCol w:w="1662"/>
        <w:gridCol w:w="284"/>
        <w:gridCol w:w="1753"/>
        <w:gridCol w:w="1840"/>
      </w:tblGrid>
      <w:tr>
        <w:trPr>
          <w:trHeight w:val="269" w:hRule="atLeast"/>
        </w:trPr>
        <w:tc>
          <w:tcPr>
            <w:tcW w:w="31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LIBELLE</w:t>
            </w:r>
          </w:p>
        </w:tc>
        <w:tc>
          <w:tcPr>
            <w:tcW w:w="3323" w:type="dxa"/>
            <w:gridSpan w:val="2"/>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FONCTIONNEMENT</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35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INVESTISSEMENT</w:t>
            </w:r>
          </w:p>
        </w:tc>
      </w:tr>
      <w:tr>
        <w:trPr>
          <w:trHeight w:val="539" w:hRule="atLeast"/>
        </w:trPr>
        <w:tc>
          <w:tcPr>
            <w:tcW w:w="31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DEPENSE OU DEFICIT</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RECETTES OU EXCEDENT</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DEPENSE OU DEFICIT</w:t>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RECETTES OU EXCEDENT</w:t>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Résultats reportés</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52 716.80 €</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43 297.38 €</w:t>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Part affectée à investiss</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r>
      <w:tr>
        <w:trPr>
          <w:trHeight w:val="269"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Opérations de l'exercice</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rPr>
              <w:t>41 108.25 €</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55 162.24 €</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44 238.36€</w:t>
            </w:r>
          </w:p>
        </w:tc>
        <w:tc>
          <w:tcPr>
            <w:tcW w:w="1840" w:type="dxa"/>
            <w:tcBorders>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20 619.73€</w:t>
            </w:r>
          </w:p>
        </w:tc>
      </w:tr>
      <w:tr>
        <w:trPr>
          <w:trHeight w:val="269" w:hRule="atLeast"/>
        </w:trPr>
        <w:tc>
          <w:tcPr>
            <w:tcW w:w="3115"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Totaux</w:t>
            </w:r>
          </w:p>
        </w:tc>
        <w:tc>
          <w:tcPr>
            <w:tcW w:w="1661"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rPr>
              <w:t>41 108.25 €</w:t>
            </w:r>
          </w:p>
        </w:tc>
        <w:tc>
          <w:tcPr>
            <w:tcW w:w="1662"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tcPr>
          <w:p>
            <w:pPr>
              <w:pStyle w:val="Normal"/>
              <w:jc w:val="center"/>
              <w:rPr>
                <w:rFonts w:ascii="Bookman Old Style" w:hAnsi="Bookman Old Style" w:cs="Arial"/>
                <w:sz w:val="16"/>
                <w:szCs w:val="16"/>
              </w:rPr>
            </w:pPr>
            <w:r>
              <w:rPr>
                <w:rFonts w:cs="Arial" w:ascii="Bookman Old Style" w:hAnsi="Bookman Old Style"/>
                <w:sz w:val="16"/>
                <w:szCs w:val="16"/>
              </w:rPr>
              <w:t>107 339.04€</w:t>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44 238.36 €</w:t>
            </w:r>
          </w:p>
        </w:tc>
        <w:tc>
          <w:tcPr>
            <w:tcW w:w="1840" w:type="dxa"/>
            <w:vMerge w:val="restart"/>
            <w:tcBorders>
              <w:left w:val="single" w:sz="4" w:space="0" w:color="000000"/>
              <w:bottom w:val="double" w:sz="6" w:space="0" w:color="000000"/>
              <w:right w:val="single" w:sz="4" w:space="0" w:color="000000"/>
              <w:insideH w:val="double" w:sz="6" w:space="0" w:color="000000"/>
              <w:insideV w:val="single" w:sz="4" w:space="0" w:color="000000"/>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t>63 917.11 €</w:t>
            </w:r>
          </w:p>
        </w:tc>
      </w:tr>
      <w:tr>
        <w:trPr>
          <w:trHeight w:val="287" w:hRule="atLeast"/>
        </w:trPr>
        <w:tc>
          <w:tcPr>
            <w:tcW w:w="3115"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661"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284" w:type="dxa"/>
            <w:tcBorders/>
            <w:shd w:color="auto" w:fill="FFFFFF"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753"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c>
          <w:tcPr>
            <w:tcW w:w="1840" w:type="dxa"/>
            <w:vMerge w:val="continue"/>
            <w:tcBorders>
              <w:left w:val="single" w:sz="4"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jc w:val="center"/>
              <w:rPr>
                <w:rFonts w:ascii="Bookman Old Style" w:hAnsi="Bookman Old Style" w:cs="Arial"/>
                <w:sz w:val="16"/>
                <w:szCs w:val="16"/>
                <w:lang w:eastAsia="zh-TW"/>
              </w:rPr>
            </w:pPr>
            <w:r>
              <w:rPr>
                <w:rFonts w:cs="Arial" w:ascii="Bookman Old Style" w:hAnsi="Bookman Old Style"/>
                <w:sz w:val="16"/>
                <w:szCs w:val="16"/>
                <w:lang w:eastAsia="zh-TW"/>
              </w:rPr>
            </w:r>
          </w:p>
        </w:tc>
      </w:tr>
      <w:tr>
        <w:trPr>
          <w:trHeight w:val="598" w:hRule="atLeast"/>
        </w:trPr>
        <w:tc>
          <w:tcPr>
            <w:tcW w:w="3115" w:type="dxa"/>
            <w:tcBorders>
              <w:left w:val="single" w:sz="4" w:space="0" w:color="000000"/>
              <w:right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Résultat de clôture</w:t>
            </w:r>
          </w:p>
        </w:tc>
        <w:tc>
          <w:tcPr>
            <w:tcW w:w="1661" w:type="dxa"/>
            <w:tcBorders>
              <w:right w:val="single" w:sz="4" w:space="0" w:color="000000"/>
              <w:insideV w:val="single" w:sz="4" w:space="0" w:color="000000"/>
            </w:tcBorders>
            <w:shd w:color="auto" w:fill="FFFFFF" w:val="clear"/>
          </w:tcPr>
          <w:p>
            <w:pPr>
              <w:pStyle w:val="Normal"/>
              <w:jc w:val="center"/>
              <w:rPr>
                <w:rFonts w:ascii="Bookman Old Style" w:hAnsi="Bookman Old Style" w:cs="Arial"/>
                <w:sz w:val="16"/>
                <w:szCs w:val="16"/>
                <w:lang w:eastAsia="fr-FR"/>
              </w:rPr>
            </w:pPr>
            <w:r>
              <w:rPr>
                <w:rFonts w:cs="Arial" w:ascii="Bookman Old Style" w:hAnsi="Bookman Old Style"/>
                <w:sz w:val="16"/>
                <w:szCs w:val="16"/>
                <w:lang w:eastAsia="fr-FR"/>
              </w:rPr>
            </w:r>
          </w:p>
        </w:tc>
        <w:tc>
          <w:tcPr>
            <w:tcW w:w="1662" w:type="dxa"/>
            <w:tcBorders>
              <w:right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rPr>
            </w:pPr>
            <w:r>
              <w:rPr>
                <w:rFonts w:cs="Arial" w:ascii="Bookman Old Style" w:hAnsi="Bookman Old Style"/>
                <w:b/>
                <w:bCs/>
                <w:sz w:val="16"/>
                <w:szCs w:val="16"/>
              </w:rPr>
              <w:t>66 770.79 €</w:t>
            </w:r>
          </w:p>
        </w:tc>
        <w:tc>
          <w:tcPr>
            <w:tcW w:w="284" w:type="dxa"/>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c>
          <w:tcPr>
            <w:tcW w:w="18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19 678.75€</w:t>
            </w:r>
          </w:p>
        </w:tc>
      </w:tr>
      <w:tr>
        <w:trPr>
          <w:trHeight w:val="598" w:hRule="atLeast"/>
        </w:trPr>
        <w:tc>
          <w:tcPr>
            <w:tcW w:w="3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REPORT (affectation de résultat)</w:t>
            </w:r>
          </w:p>
        </w:tc>
        <w:tc>
          <w:tcPr>
            <w:tcW w:w="1661"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lang w:eastAsia="fr-FR"/>
              </w:rPr>
            </w:pPr>
            <w:r>
              <w:rPr>
                <w:rFonts w:cs="Arial" w:ascii="Bookman Old Style" w:hAnsi="Bookman Old Style"/>
                <w:b/>
                <w:bCs/>
                <w:sz w:val="16"/>
                <w:szCs w:val="16"/>
              </w:rPr>
              <w:t>Compte 002</w:t>
            </w:r>
          </w:p>
        </w:tc>
        <w:tc>
          <w:tcPr>
            <w:tcW w:w="1662" w:type="dxa"/>
            <w:tcBorders>
              <w:bottom w:val="single" w:sz="4" w:space="0" w:color="000000"/>
              <w:right w:val="single" w:sz="4" w:space="0" w:color="000000"/>
              <w:insideH w:val="single" w:sz="4" w:space="0" w:color="000000"/>
              <w:insideV w:val="single" w:sz="4" w:space="0" w:color="000000"/>
            </w:tcBorders>
            <w:shd w:color="auto" w:fill="FFFFFF" w:val="clear"/>
          </w:tcPr>
          <w:p>
            <w:pPr>
              <w:pStyle w:val="Normal"/>
              <w:jc w:val="center"/>
              <w:rPr>
                <w:rFonts w:ascii="Bookman Old Style" w:hAnsi="Bookman Old Style" w:cs="Arial"/>
                <w:b/>
                <w:b/>
                <w:bCs/>
                <w:sz w:val="16"/>
                <w:szCs w:val="16"/>
              </w:rPr>
            </w:pPr>
            <w:r>
              <w:rPr>
                <w:rFonts w:cs="Arial" w:ascii="Bookman Old Style" w:hAnsi="Bookman Old Style"/>
                <w:b/>
                <w:bCs/>
                <w:sz w:val="16"/>
                <w:szCs w:val="16"/>
              </w:rPr>
              <w:t>66 770.79 €</w:t>
            </w:r>
          </w:p>
        </w:tc>
        <w:tc>
          <w:tcPr>
            <w:tcW w:w="284" w:type="dxa"/>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r>
          </w:p>
        </w:tc>
        <w:tc>
          <w:tcPr>
            <w:tcW w:w="1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Compte 001</w:t>
            </w:r>
          </w:p>
        </w:tc>
        <w:tc>
          <w:tcPr>
            <w:tcW w:w="184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rFonts w:ascii="Bookman Old Style" w:hAnsi="Bookman Old Style" w:cs="Arial"/>
                <w:b/>
                <w:b/>
                <w:bCs/>
                <w:sz w:val="16"/>
                <w:szCs w:val="16"/>
                <w:lang w:eastAsia="zh-TW"/>
              </w:rPr>
            </w:pPr>
            <w:r>
              <w:rPr>
                <w:rFonts w:cs="Arial" w:ascii="Bookman Old Style" w:hAnsi="Bookman Old Style"/>
                <w:b/>
                <w:bCs/>
                <w:sz w:val="16"/>
                <w:szCs w:val="16"/>
                <w:lang w:eastAsia="zh-TW"/>
              </w:rPr>
              <w:t>19 678.75€</w:t>
            </w:r>
          </w:p>
        </w:tc>
      </w:tr>
    </w:tbl>
    <w:p>
      <w:pPr>
        <w:pStyle w:val="Normal"/>
        <w:jc w:val="center"/>
        <w:rPr>
          <w:rFonts w:ascii="Arial" w:hAnsi="Arial" w:cs="Arial"/>
          <w:sz w:val="14"/>
          <w:szCs w:val="14"/>
          <w:lang w:eastAsia="zh-TW"/>
        </w:rPr>
      </w:pPr>
      <w:r>
        <w:rPr>
          <w:rFonts w:cs="Arial" w:ascii="Arial" w:hAnsi="Arial"/>
          <w:sz w:val="14"/>
          <w:szCs w:val="14"/>
          <w:lang w:eastAsia="zh-TW"/>
        </w:rPr>
      </w:r>
    </w:p>
    <w:p>
      <w:pPr>
        <w:pStyle w:val="Normal"/>
        <w:jc w:val="both"/>
        <w:rPr>
          <w:rFonts w:ascii="Arial" w:hAnsi="Arial" w:cs="Arial"/>
          <w:sz w:val="21"/>
          <w:szCs w:val="21"/>
          <w:lang w:eastAsia="zh-TW"/>
        </w:rPr>
      </w:pPr>
      <w:r>
        <w:rPr>
          <w:rFonts w:cs="Arial" w:ascii="Arial" w:hAnsi="Arial"/>
          <w:sz w:val="21"/>
          <w:szCs w:val="21"/>
          <w:lang w:eastAsia="zh-TW"/>
        </w:rPr>
      </w:r>
    </w:p>
    <w:p>
      <w:pPr>
        <w:pStyle w:val="Normal"/>
        <w:jc w:val="both"/>
        <w:rPr/>
      </w:pPr>
      <w:r>
        <w:rPr/>
      </w:r>
    </w:p>
    <w:p>
      <w:pPr>
        <w:pStyle w:val="Normal"/>
        <w:jc w:val="both"/>
        <w:rPr/>
      </w:pPr>
      <w:r>
        <w:rPr/>
      </w:r>
    </w:p>
    <w:p>
      <w:pPr>
        <w:pStyle w:val="Normal"/>
        <w:jc w:val="both"/>
        <w:rPr/>
      </w:pPr>
      <w:r>
        <w:rPr/>
        <w:t>Le Conseil Municipal approuve à l’unanimité ces comptes administratifs et les affectations de résultat.</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2835" w:leader="dot"/>
        </w:tabs>
        <w:jc w:val="both"/>
        <w:rPr/>
      </w:pPr>
      <w:r>
        <w:rPr/>
        <w:t>M. le Maire présente les comptes de gestion 2020 (commune et assainissement) établis par la trésorerie. Les résultats sont identiques aux comptes administratifs. Le Conseil Municipal approuve à l’unanimité les comptes de gestion 2020 de la trésorerie.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r>
    </w:p>
    <w:p>
      <w:pPr>
        <w:pStyle w:val="Titredlib"/>
        <w:numPr>
          <w:ilvl w:val="0"/>
          <w:numId w:val="5"/>
        </w:numPr>
        <w:rPr>
          <w:u w:val="single"/>
          <w:lang w:val="fr-FR"/>
        </w:rPr>
      </w:pPr>
      <w:r>
        <w:rPr>
          <w:u w:val="single"/>
          <w:lang w:val="fr-FR"/>
        </w:rPr>
        <w:t xml:space="preserve">finances : vote du budget </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pPr>
      <w:r>
        <w:rPr/>
        <w:t>Madame ROCHETIN, adjointe au maire, présente les budgets primitifs 2021 qui s’établissent ainsi :</w:t>
      </w:r>
    </w:p>
    <w:p>
      <w:pPr>
        <w:pStyle w:val="Normal"/>
        <w:jc w:val="both"/>
        <w:rPr/>
      </w:pPr>
      <w:r>
        <w:rPr/>
      </w:r>
    </w:p>
    <w:p>
      <w:pPr>
        <w:pStyle w:val="Normal"/>
        <w:numPr>
          <w:ilvl w:val="0"/>
          <w:numId w:val="2"/>
        </w:numPr>
        <w:jc w:val="both"/>
        <w:rPr/>
      </w:pPr>
      <w:r>
        <w:rPr/>
        <w:t>Budget commune :</w:t>
      </w:r>
    </w:p>
    <w:p>
      <w:pPr>
        <w:pStyle w:val="Normal"/>
        <w:jc w:val="both"/>
        <w:rPr/>
      </w:pPr>
      <w:r>
        <w:rPr/>
        <w:tab/>
        <w:tab/>
        <w:t>Section de fonctionnement</w:t>
        <w:tab/>
        <w:t>425 693.86 €</w:t>
      </w:r>
    </w:p>
    <w:p>
      <w:pPr>
        <w:pStyle w:val="Normal"/>
        <w:jc w:val="both"/>
        <w:rPr/>
      </w:pPr>
      <w:r>
        <w:rPr/>
        <w:tab/>
        <w:tab/>
        <w:t xml:space="preserve">Section d’investissement </w:t>
        <w:tab/>
        <w:t>264 125.00 €</w:t>
      </w:r>
    </w:p>
    <w:p>
      <w:pPr>
        <w:pStyle w:val="Normal"/>
        <w:jc w:val="both"/>
        <w:rPr/>
      </w:pPr>
      <w:r>
        <w:rPr/>
      </w:r>
    </w:p>
    <w:p>
      <w:pPr>
        <w:pStyle w:val="Normal"/>
        <w:numPr>
          <w:ilvl w:val="0"/>
          <w:numId w:val="1"/>
        </w:numPr>
        <w:jc w:val="both"/>
        <w:rPr/>
      </w:pPr>
      <w:r>
        <w:rPr/>
        <w:t>Budget assainissement :</w:t>
      </w:r>
    </w:p>
    <w:p>
      <w:pPr>
        <w:pStyle w:val="Normal"/>
        <w:jc w:val="both"/>
        <w:rPr/>
      </w:pPr>
      <w:r>
        <w:rPr/>
        <w:tab/>
        <w:tab/>
        <w:t xml:space="preserve">Section d’exploitation </w:t>
        <w:tab/>
        <w:t xml:space="preserve">  120 901.79 €</w:t>
      </w:r>
    </w:p>
    <w:p>
      <w:pPr>
        <w:pStyle w:val="Normal"/>
        <w:jc w:val="both"/>
        <w:rPr/>
      </w:pPr>
      <w:r>
        <w:rPr/>
        <w:tab/>
        <w:tab/>
        <w:t>Section d’investissement</w:t>
        <w:tab/>
        <w:t xml:space="preserve">    84 201.75 €</w:t>
      </w:r>
    </w:p>
    <w:p>
      <w:pPr>
        <w:pStyle w:val="Normal"/>
        <w:jc w:val="both"/>
        <w:rPr/>
      </w:pPr>
      <w:r>
        <w:rPr/>
        <w:tab/>
        <w:tab/>
        <w:tab/>
      </w:r>
    </w:p>
    <w:p>
      <w:pPr>
        <w:pStyle w:val="Normal"/>
        <w:jc w:val="both"/>
        <w:rPr/>
      </w:pPr>
      <w:r>
        <w:rPr/>
      </w:r>
    </w:p>
    <w:p>
      <w:pPr>
        <w:pStyle w:val="Normal"/>
        <w:jc w:val="both"/>
        <w:rPr/>
      </w:pPr>
      <w:r>
        <w:rPr/>
        <w:t>Le Conseil Municipal approuve à l’unanimité les budgets primitifs 2021 (commune et assainissement).</w:t>
      </w:r>
    </w:p>
    <w:p>
      <w:pPr>
        <w:pStyle w:val="Normal"/>
        <w:jc w:val="both"/>
        <w:rPr/>
      </w:pPr>
      <w:r>
        <w:rPr/>
      </w:r>
    </w:p>
    <w:p>
      <w:pPr>
        <w:pStyle w:val="Normal"/>
        <w:tabs>
          <w:tab w:val="clear" w:pos="709"/>
          <w:tab w:val="left" w:pos="2835" w:leader="dot"/>
        </w:tabs>
        <w:jc w:val="both"/>
        <w:rPr/>
      </w:pPr>
      <w:r>
        <w:rPr/>
      </w:r>
    </w:p>
    <w:p>
      <w:pPr>
        <w:pStyle w:val="Titredlib"/>
        <w:numPr>
          <w:ilvl w:val="0"/>
          <w:numId w:val="5"/>
        </w:numPr>
        <w:rPr>
          <w:u w:val="single"/>
          <w:lang w:val="fr-FR"/>
        </w:rPr>
      </w:pPr>
      <w:r>
        <w:rPr>
          <w:u w:val="single"/>
          <w:lang w:val="fr-FR"/>
        </w:rPr>
        <w:t xml:space="preserve">finances : vote des taux D’IMPOSITION </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lang w:eastAsia="fr-FR"/>
        </w:rPr>
      </w:pPr>
      <w:r>
        <w:rPr/>
        <w:t xml:space="preserve">La communauté de communes de Feurs en Forez ayant fusionné au 31 décembre 2016, notre commune fait maintenant partie de la communauté de communes de Forez Est. Dans ce cadre, la fiscalité doit être harmonisée sur l’ensemble du territoire de Forez-Est. </w:t>
      </w:r>
    </w:p>
    <w:p>
      <w:pPr>
        <w:pStyle w:val="Normal"/>
        <w:jc w:val="both"/>
        <w:rPr/>
      </w:pPr>
      <w:r>
        <w:rPr/>
        <w:t xml:space="preserve">Le fond de concours que percevait la commune dans le cadre du pacte fiscal sera lui-aussi à la baisse dans les mêmes proportions jusqu’en 2028 (date de l’extinction du fond de concours), la commune percevra une baisse de 2815 € chaque année. </w:t>
      </w:r>
    </w:p>
    <w:p>
      <w:pPr>
        <w:pStyle w:val="Normal"/>
        <w:jc w:val="both"/>
        <w:rPr/>
      </w:pPr>
      <w:r>
        <w:rPr/>
        <w:t>Pour conserver ses ressources (une augmentation de 2%), la commune  doit augmenter ses taux communaux d’autant. Les taux sont les suivants :</w:t>
      </w:r>
    </w:p>
    <w:p>
      <w:pPr>
        <w:pStyle w:val="ListParagraph"/>
        <w:numPr>
          <w:ilvl w:val="0"/>
          <w:numId w:val="7"/>
        </w:numPr>
        <w:suppressAutoHyphens w:val="false"/>
        <w:jc w:val="both"/>
        <w:rPr/>
      </w:pPr>
      <w:r>
        <w:rPr/>
        <w:t>Taxe habitation : NEANT</w:t>
      </w:r>
    </w:p>
    <w:p>
      <w:pPr>
        <w:pStyle w:val="ListParagraph"/>
        <w:numPr>
          <w:ilvl w:val="0"/>
          <w:numId w:val="7"/>
        </w:numPr>
        <w:suppressAutoHyphens w:val="false"/>
        <w:jc w:val="both"/>
        <w:rPr/>
      </w:pPr>
      <w:r>
        <w:rPr/>
        <w:t xml:space="preserve">Taxe foncière : 22.92 dont 15.30 % taux départemental </w:t>
      </w:r>
    </w:p>
    <w:p>
      <w:pPr>
        <w:pStyle w:val="ListParagraph"/>
        <w:numPr>
          <w:ilvl w:val="0"/>
          <w:numId w:val="7"/>
        </w:numPr>
        <w:suppressAutoHyphens w:val="false"/>
        <w:jc w:val="both"/>
        <w:rPr/>
      </w:pPr>
      <w:r>
        <w:rPr/>
        <w:t>Taxe foncière non bâti : 19.61 %</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ind w:firstLine="709"/>
        <w:jc w:val="both"/>
        <w:rPr/>
      </w:pPr>
      <w:r>
        <w:rPr/>
        <w:t>Le conseil Municipal approuve à la majorité ces taux.</w:t>
      </w:r>
    </w:p>
    <w:p>
      <w:pPr>
        <w:pStyle w:val="Normal"/>
        <w:ind w:left="285" w:hanging="0"/>
        <w:jc w:val="both"/>
        <w:rPr/>
      </w:pPr>
      <w:r>
        <w:rPr/>
      </w:r>
    </w:p>
    <w:p>
      <w:pPr>
        <w:pStyle w:val="Normal"/>
        <w:ind w:left="285" w:hanging="0"/>
        <w:jc w:val="both"/>
        <w:rPr/>
      </w:pPr>
      <w:r>
        <w:rPr/>
      </w:r>
    </w:p>
    <w:p>
      <w:pPr>
        <w:pStyle w:val="Normal"/>
        <w:ind w:left="285" w:hanging="0"/>
        <w:jc w:val="both"/>
        <w:rPr/>
      </w:pPr>
      <w:r>
        <w:rPr/>
      </w:r>
    </w:p>
    <w:p>
      <w:pPr>
        <w:pStyle w:val="Titredlib"/>
        <w:numPr>
          <w:ilvl w:val="0"/>
          <w:numId w:val="6"/>
        </w:numPr>
        <w:rPr>
          <w:u w:val="single"/>
          <w:lang w:val="fr-FR"/>
        </w:rPr>
      </w:pPr>
      <w:r>
        <w:rPr>
          <w:u w:val="single"/>
          <w:lang w:val="fr-FR"/>
        </w:rPr>
        <w:t>-finances : creation budget lotissement</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pPr>
      <w:r>
        <w:rPr/>
        <w:t>Monsieur le Maire rappelle au Conseil Municipal que la commune a décidé la création d’un lotissement situé Route de la Thoranche.</w:t>
      </w:r>
    </w:p>
    <w:p>
      <w:pPr>
        <w:pStyle w:val="Normal"/>
        <w:jc w:val="both"/>
        <w:rPr/>
      </w:pPr>
      <w:r>
        <w:rPr/>
      </w:r>
    </w:p>
    <w:p>
      <w:pPr>
        <w:pStyle w:val="Normal"/>
        <w:jc w:val="both"/>
        <w:rPr/>
      </w:pPr>
      <w:r>
        <w:rPr/>
        <w:t>Cette opération constitue une activité assujettie à la TVA et impose de ce fait la création d’un budget annexe.</w:t>
      </w:r>
    </w:p>
    <w:p>
      <w:pPr>
        <w:pStyle w:val="Normal"/>
        <w:jc w:val="both"/>
        <w:rPr/>
      </w:pPr>
      <w:r>
        <w:rPr/>
      </w:r>
    </w:p>
    <w:p>
      <w:pPr>
        <w:pStyle w:val="Normal"/>
        <w:jc w:val="both"/>
        <w:rPr/>
      </w:pPr>
      <w:r>
        <w:rPr/>
        <w:t>Les cessions futures de terrain à bâtir seront taxées à la marge.</w:t>
      </w:r>
    </w:p>
    <w:p>
      <w:pPr>
        <w:pStyle w:val="Normal"/>
        <w:jc w:val="both"/>
        <w:rPr/>
      </w:pPr>
      <w:r>
        <w:rPr/>
      </w:r>
    </w:p>
    <w:p>
      <w:pPr>
        <w:pStyle w:val="Normal"/>
        <w:jc w:val="both"/>
        <w:rPr/>
      </w:pPr>
      <w:r>
        <w:rPr/>
        <w:t>Le Conseil Municipal approuve à l’unanimité ce lotissement et la création du budget.</w:t>
      </w:r>
    </w:p>
    <w:p>
      <w:pPr>
        <w:pStyle w:val="Normal"/>
        <w:jc w:val="both"/>
        <w:rPr/>
      </w:pPr>
      <w:r>
        <w:rPr/>
      </w:r>
    </w:p>
    <w:p>
      <w:pPr>
        <w:pStyle w:val="Normal"/>
        <w:ind w:left="285" w:hanging="0"/>
        <w:jc w:val="both"/>
        <w:rPr/>
      </w:pPr>
      <w:r>
        <w:rPr/>
      </w:r>
    </w:p>
    <w:p>
      <w:pPr>
        <w:pStyle w:val="Titredlib"/>
        <w:numPr>
          <w:ilvl w:val="0"/>
          <w:numId w:val="6"/>
        </w:numPr>
        <w:rPr>
          <w:u w:val="single"/>
          <w:lang w:val="fr-FR"/>
        </w:rPr>
      </w:pPr>
      <w:r>
        <w:rPr>
          <w:u w:val="single"/>
          <w:lang w:val="fr-FR"/>
        </w:rPr>
        <w:t xml:space="preserve">-finances : </w:t>
      </w:r>
      <w:r>
        <w:rPr>
          <w:u w:val="single"/>
        </w:rPr>
        <w:t>SUbvention aux associations</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pPr>
      <w:r>
        <w:rPr/>
        <w:t>Monsieur le Maire propose d’attribuer les subventions versées aux associations et propose que ce montant soit fixe jusqu’à la fin du mandat.</w:t>
      </w:r>
    </w:p>
    <w:p>
      <w:pPr>
        <w:pStyle w:val="Normal"/>
        <w:jc w:val="both"/>
        <w:rPr/>
      </w:pPr>
      <w:r>
        <w:rPr/>
      </w:r>
    </w:p>
    <w:p>
      <w:pPr>
        <w:pStyle w:val="Normal"/>
        <w:jc w:val="both"/>
        <w:rPr/>
      </w:pPr>
      <w:r>
        <w:rPr/>
      </w:r>
    </w:p>
    <w:p>
      <w:pPr>
        <w:pStyle w:val="Normal"/>
        <w:jc w:val="both"/>
        <w:rPr/>
      </w:pPr>
      <w:r>
        <w:rPr/>
        <w:t>Après en avoir discuté et délibéré, le Conseil Municipal :</w:t>
      </w:r>
    </w:p>
    <w:p>
      <w:pPr>
        <w:pStyle w:val="Normal"/>
        <w:numPr>
          <w:ilvl w:val="0"/>
          <w:numId w:val="8"/>
        </w:numPr>
        <w:suppressAutoHyphens w:val="false"/>
        <w:jc w:val="both"/>
        <w:rPr/>
      </w:pPr>
      <w:r>
        <w:rPr/>
        <w:t>décide en conséquence de fixer le montant des subventions 2021 versées aux associations comme suit jusqu’à la fin du mandat :</w:t>
      </w:r>
    </w:p>
    <w:p>
      <w:pPr>
        <w:pStyle w:val="Normal"/>
        <w:jc w:val="both"/>
        <w:rPr>
          <w:rFonts w:ascii="Bookman Old Style" w:hAnsi="Bookman Old Style"/>
          <w:sz w:val="20"/>
          <w:szCs w:val="20"/>
        </w:rPr>
      </w:pPr>
      <w:r>
        <w:rPr>
          <w:rFonts w:ascii="Bookman Old Style" w:hAnsi="Bookman Old Style"/>
          <w:sz w:val="20"/>
          <w:szCs w:val="20"/>
        </w:rPr>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Association Boules Barthélémy Guillet</w:t>
        <w:tab/>
        <w:t>100 €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Association des Saint Laurent de France</w:t>
        <w:tab/>
        <w:t>210 €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Association Sportive de Saint-Laurent</w:t>
        <w:tab/>
        <w:t>210 €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Club de l’Amitié de la Conche</w:t>
        <w:tab/>
        <w:t>100 €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Comité des Fêtes de Saint-Laurent</w:t>
        <w:tab/>
        <w:t>210 €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FNACA Marclopt – Saint-Laurent</w:t>
        <w:tab/>
        <w:t>100 €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Dynamic’Gym</w:t>
        <w:tab/>
        <w:t>100 €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Parents d’Elèves RPI Marclopt – Saint-Laurent</w:t>
        <w:tab/>
        <w:t>650 €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Club Auto Rétro de la Conche</w:t>
        <w:tab/>
        <w:t>100 €</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Les chœurs de la conche</w:t>
        <w:tab/>
        <w:t>100€</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Syndicat des agriculteurs</w:t>
        <w:tab/>
        <w:t>100€</w:t>
      </w:r>
    </w:p>
    <w:p>
      <w:pPr>
        <w:pStyle w:val="Normal"/>
        <w:numPr>
          <w:ilvl w:val="0"/>
          <w:numId w:val="9"/>
        </w:numPr>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Les James……………………………………………………………………………..100 €</w:t>
      </w:r>
    </w:p>
    <w:p>
      <w:pPr>
        <w:pStyle w:val="Normal"/>
        <w:tabs>
          <w:tab w:val="clear" w:pos="709"/>
          <w:tab w:val="right" w:pos="8505" w:leader="dot"/>
        </w:tabs>
        <w:suppressAutoHyphens w:val="false"/>
        <w:ind w:left="1080" w:hanging="0"/>
        <w:jc w:val="both"/>
        <w:rPr>
          <w:rFonts w:ascii="Bookman Old Style" w:hAnsi="Bookman Old Style"/>
          <w:sz w:val="20"/>
          <w:szCs w:val="20"/>
        </w:rPr>
      </w:pPr>
      <w:r>
        <w:rPr>
          <w:rFonts w:ascii="Bookman Old Style" w:hAnsi="Bookman Old Style"/>
          <w:sz w:val="20"/>
          <w:szCs w:val="20"/>
        </w:rPr>
      </w:r>
    </w:p>
    <w:p>
      <w:pPr>
        <w:pStyle w:val="Normal"/>
        <w:tabs>
          <w:tab w:val="clear" w:pos="709"/>
          <w:tab w:val="right" w:pos="8505" w:leader="dot"/>
        </w:tabs>
        <w:suppressAutoHyphens w:val="false"/>
        <w:ind w:left="1080" w:hanging="0"/>
        <w:jc w:val="both"/>
        <w:rPr>
          <w:rFonts w:ascii="Bookman Old Style" w:hAnsi="Bookman Old Style"/>
          <w:sz w:val="20"/>
          <w:szCs w:val="20"/>
        </w:rPr>
      </w:pPr>
      <w:r>
        <w:rPr>
          <w:rFonts w:ascii="Bookman Old Style" w:hAnsi="Bookman Old Style"/>
          <w:sz w:val="20"/>
          <w:szCs w:val="20"/>
        </w:rPr>
      </w:r>
    </w:p>
    <w:p>
      <w:pPr>
        <w:pStyle w:val="Normal"/>
        <w:tabs>
          <w:tab w:val="clear" w:pos="709"/>
          <w:tab w:val="right" w:pos="8505" w:leader="dot"/>
        </w:tabs>
        <w:suppressAutoHyphens w:val="false"/>
        <w:ind w:left="1080" w:hanging="0"/>
        <w:jc w:val="both"/>
        <w:rPr>
          <w:rFonts w:ascii="Bookman Old Style" w:hAnsi="Bookman Old Style"/>
          <w:sz w:val="20"/>
          <w:szCs w:val="20"/>
        </w:rPr>
      </w:pPr>
      <w:r>
        <w:rPr>
          <w:rFonts w:ascii="Bookman Old Style" w:hAnsi="Bookman Old Style"/>
          <w:sz w:val="20"/>
          <w:szCs w:val="20"/>
        </w:rPr>
      </w:r>
    </w:p>
    <w:p>
      <w:pPr>
        <w:pStyle w:val="Normal"/>
        <w:tabs>
          <w:tab w:val="clear" w:pos="709"/>
          <w:tab w:val="right" w:pos="8505" w:leader="dot"/>
        </w:tabs>
        <w:suppressAutoHyphens w:val="false"/>
        <w:ind w:left="1080" w:hanging="0"/>
        <w:jc w:val="both"/>
        <w:rPr>
          <w:rFonts w:ascii="Bookman Old Style" w:hAnsi="Bookman Old Style"/>
          <w:sz w:val="20"/>
          <w:szCs w:val="20"/>
        </w:rPr>
      </w:pPr>
      <w:r>
        <w:rPr>
          <w:rFonts w:ascii="Bookman Old Style" w:hAnsi="Bookman Old Style"/>
          <w:sz w:val="20"/>
          <w:szCs w:val="20"/>
        </w:rPr>
      </w:r>
    </w:p>
    <w:p>
      <w:pPr>
        <w:pStyle w:val="Normal"/>
        <w:tabs>
          <w:tab w:val="clear" w:pos="709"/>
          <w:tab w:val="right" w:pos="8505" w:leader="dot"/>
        </w:tabs>
        <w:suppressAutoHyphens w:val="false"/>
        <w:jc w:val="both"/>
        <w:rPr>
          <w:rFonts w:ascii="Bookman Old Style" w:hAnsi="Bookman Old Style"/>
          <w:sz w:val="20"/>
          <w:szCs w:val="20"/>
        </w:rPr>
      </w:pPr>
      <w:r>
        <w:rPr>
          <w:rFonts w:ascii="Bookman Old Style" w:hAnsi="Bookman Old Style"/>
          <w:sz w:val="20"/>
          <w:szCs w:val="20"/>
        </w:rPr>
        <w:t>Suite à la crise sanitaire et en cas de difficulté financière, il est décidé d’attribuer une subvention exceptionnelle aux associations. Un mailing sera fait en indiquant les pièces demandées et une date d’envoi du dossier. Le Conseil Municipal étudiera les dossiers et décidera du montant à attribuer.</w:t>
      </w:r>
    </w:p>
    <w:p>
      <w:pPr>
        <w:pStyle w:val="Titredlib"/>
        <w:numPr>
          <w:ilvl w:val="0"/>
          <w:numId w:val="10"/>
        </w:numPr>
        <w:rPr/>
      </w:pPr>
      <w:r>
        <w:rPr>
          <w:u w:val="single"/>
          <w:lang w:val="fr-FR"/>
        </w:rPr>
        <w:t>Devis skate park</w:t>
      </w:r>
    </w:p>
    <w:p>
      <w:pPr>
        <w:pStyle w:val="Titredlib"/>
        <w:rPr>
          <w:b w:val="false"/>
          <w:b w:val="false"/>
          <w:caps w:val="false"/>
          <w:smallCaps w:val="false"/>
          <w:lang w:val="fr-FR" w:eastAsia="ar-SA"/>
        </w:rPr>
      </w:pPr>
      <w:r>
        <w:rPr>
          <w:b w:val="false"/>
          <w:caps w:val="false"/>
          <w:smallCaps w:val="false"/>
          <w:lang w:val="fr-FR" w:eastAsia="ar-SA"/>
        </w:rPr>
        <w:t>Monsieur le maire informe le Conseil Municipal que la commune bénéficie d’une subvention de la Région pour un montant de travaux de 45 000€ TTC. Il serait judicieux d’intégrer les éléments de skate park en maçonnerie afin de les intégrer dans la subvention. Le Conseil Municipal approuve ce principe (4 modules pour environ 10000€). La commission avance sur ce projet et le présentera pour le prochain conseil.</w:t>
      </w:r>
    </w:p>
    <w:p>
      <w:pPr>
        <w:pStyle w:val="Titredlib"/>
        <w:rPr>
          <w:b w:val="false"/>
          <w:b w:val="false"/>
          <w:caps w:val="false"/>
          <w:smallCaps w:val="false"/>
          <w:lang w:val="fr-FR" w:eastAsia="ar-SA"/>
        </w:rPr>
      </w:pPr>
      <w:r>
        <w:rPr>
          <w:b w:val="false"/>
          <w:caps w:val="false"/>
          <w:smallCaps w:val="false"/>
          <w:lang w:val="fr-FR" w:eastAsia="ar-SA"/>
        </w:rPr>
        <w:t xml:space="preserve"> </w:t>
      </w:r>
      <w:r>
        <w:rPr>
          <w:b w:val="false"/>
          <w:caps w:val="false"/>
          <w:smallCaps w:val="false"/>
          <w:lang w:val="fr-FR" w:eastAsia="ar-SA"/>
        </w:rPr>
        <w:t>Monsieur le Maire fait part au conseil municipal que la plateforme a été réalisée.</w:t>
      </w:r>
    </w:p>
    <w:p>
      <w:pPr>
        <w:pStyle w:val="Titredlib"/>
        <w:rPr>
          <w:b w:val="false"/>
          <w:b w:val="false"/>
          <w:caps w:val="false"/>
          <w:smallCaps w:val="false"/>
          <w:lang w:val="fr-FR" w:eastAsia="ar-SA"/>
        </w:rPr>
      </w:pPr>
      <w:r>
        <w:rPr>
          <w:b w:val="false"/>
          <w:caps w:val="false"/>
          <w:smallCaps w:val="false"/>
          <w:lang w:val="fr-FR" w:eastAsia="ar-SA"/>
        </w:rPr>
      </w:r>
    </w:p>
    <w:p>
      <w:pPr>
        <w:pStyle w:val="Titredlib"/>
        <w:numPr>
          <w:ilvl w:val="0"/>
          <w:numId w:val="10"/>
        </w:numPr>
        <w:rPr/>
      </w:pPr>
      <w:r>
        <w:rPr>
          <w:u w:val="single"/>
          <w:lang w:val="fr-FR"/>
        </w:rPr>
        <w:t>devis electricite</w:t>
      </w:r>
    </w:p>
    <w:p>
      <w:pPr>
        <w:pStyle w:val="Titredlib"/>
        <w:rPr>
          <w:b w:val="false"/>
          <w:b w:val="false"/>
          <w:caps w:val="false"/>
          <w:smallCaps w:val="false"/>
          <w:lang w:val="fr-FR" w:eastAsia="ar-SA"/>
        </w:rPr>
      </w:pPr>
      <w:r>
        <w:rPr>
          <w:b w:val="false"/>
          <w:caps w:val="false"/>
          <w:smallCaps w:val="false"/>
          <w:lang w:val="fr-FR" w:eastAsia="ar-SA"/>
        </w:rPr>
        <w:t>Monsieur le maire informe le Conseil Municipal des devis réalisé par la société RC ELEC :</w:t>
      </w:r>
    </w:p>
    <w:p>
      <w:pPr>
        <w:pStyle w:val="Titredlib"/>
        <w:rPr>
          <w:b w:val="false"/>
          <w:b w:val="false"/>
          <w:caps w:val="false"/>
          <w:smallCaps w:val="false"/>
          <w:lang w:val="fr-FR" w:eastAsia="ar-SA"/>
        </w:rPr>
      </w:pPr>
      <w:r>
        <w:rPr>
          <w:b w:val="false"/>
          <w:caps w:val="false"/>
          <w:smallCaps w:val="false"/>
          <w:lang w:val="fr-FR" w:eastAsia="ar-SA"/>
        </w:rPr>
        <w:t>-Ecole : 912 € TTC</w:t>
      </w:r>
    </w:p>
    <w:p>
      <w:pPr>
        <w:pStyle w:val="Titredlib"/>
        <w:rPr>
          <w:b w:val="false"/>
          <w:b w:val="false"/>
          <w:caps w:val="false"/>
          <w:smallCaps w:val="false"/>
          <w:lang w:val="fr-FR" w:eastAsia="ar-SA"/>
        </w:rPr>
      </w:pPr>
      <w:r>
        <w:rPr>
          <w:b w:val="false"/>
          <w:caps w:val="false"/>
          <w:smallCaps w:val="false"/>
          <w:lang w:val="fr-FR" w:eastAsia="ar-SA"/>
        </w:rPr>
        <w:t>-Salle des fêtes : 130 € TTC (alarme incendie).</w:t>
      </w:r>
    </w:p>
    <w:p>
      <w:pPr>
        <w:pStyle w:val="Titredlib"/>
        <w:rPr>
          <w:b w:val="false"/>
          <w:b w:val="false"/>
          <w:caps w:val="false"/>
          <w:smallCaps w:val="false"/>
          <w:lang w:val="fr-FR" w:eastAsia="ar-SA"/>
        </w:rPr>
      </w:pPr>
      <w:r>
        <w:rPr>
          <w:b w:val="false"/>
          <w:caps w:val="false"/>
          <w:smallCaps w:val="false"/>
          <w:lang w:val="fr-FR" w:eastAsia="ar-SA"/>
        </w:rPr>
        <w:t>Le Conseil Municipal approuve à l’unanimité ces devis</w:t>
      </w:r>
    </w:p>
    <w:p>
      <w:pPr>
        <w:pStyle w:val="Titredlib"/>
        <w:rPr>
          <w:b w:val="false"/>
          <w:b w:val="false"/>
          <w:caps w:val="false"/>
          <w:smallCaps w:val="false"/>
          <w:lang w:val="fr-FR" w:eastAsia="ar-SA"/>
        </w:rPr>
      </w:pPr>
      <w:r>
        <w:rPr>
          <w:b w:val="false"/>
          <w:caps w:val="false"/>
          <w:smallCaps w:val="false"/>
          <w:lang w:val="fr-FR" w:eastAsia="ar-SA"/>
        </w:rPr>
      </w:r>
    </w:p>
    <w:p>
      <w:pPr>
        <w:pStyle w:val="Titredlib"/>
        <w:numPr>
          <w:ilvl w:val="0"/>
          <w:numId w:val="10"/>
        </w:numPr>
        <w:rPr/>
      </w:pPr>
      <w:r>
        <w:rPr>
          <w:u w:val="single"/>
          <w:lang w:val="fr-FR"/>
        </w:rPr>
        <w:t>logiciel cantine</w:t>
      </w:r>
    </w:p>
    <w:p>
      <w:pPr>
        <w:pStyle w:val="Titredlib"/>
        <w:rPr>
          <w:b w:val="false"/>
          <w:b w:val="false"/>
          <w:caps w:val="false"/>
          <w:smallCaps w:val="false"/>
          <w:lang w:val="fr-FR" w:eastAsia="ar-SA"/>
        </w:rPr>
      </w:pPr>
      <w:r>
        <w:rPr>
          <w:b w:val="false"/>
          <w:caps w:val="false"/>
          <w:smallCaps w:val="false"/>
          <w:lang w:val="fr-FR" w:eastAsia="ar-SA"/>
        </w:rPr>
        <w:t>M le Maire explique au conseil municipal que le logiciel de cantine est obsolète et qu’il convient de le remplacer. Le devis de ce dernier s’élève à :</w:t>
      </w:r>
    </w:p>
    <w:p>
      <w:pPr>
        <w:pStyle w:val="Titredlib"/>
        <w:rPr>
          <w:b w:val="false"/>
          <w:b w:val="false"/>
          <w:caps w:val="false"/>
          <w:smallCaps w:val="false"/>
          <w:lang w:val="fr-FR" w:eastAsia="ar-SA"/>
        </w:rPr>
      </w:pPr>
      <w:r>
        <w:rPr>
          <w:b w:val="false"/>
          <w:caps w:val="false"/>
          <w:smallCaps w:val="false"/>
          <w:lang w:val="fr-FR" w:eastAsia="ar-SA"/>
        </w:rPr>
        <w:t>-</w:t>
        <w:tab/>
        <w:t>98.03 € HT par mois pour la maintenance.</w:t>
      </w:r>
    </w:p>
    <w:p>
      <w:pPr>
        <w:pStyle w:val="Titredlib"/>
        <w:rPr>
          <w:b w:val="false"/>
          <w:b w:val="false"/>
          <w:caps w:val="false"/>
          <w:smallCaps w:val="false"/>
          <w:lang w:val="fr-FR" w:eastAsia="ar-SA"/>
        </w:rPr>
      </w:pPr>
      <w:r>
        <w:rPr>
          <w:b w:val="false"/>
          <w:caps w:val="false"/>
          <w:smallCaps w:val="false"/>
          <w:lang w:val="fr-FR" w:eastAsia="ar-SA"/>
        </w:rPr>
        <w:t>-</w:t>
        <w:tab/>
        <w:t>2 585.00 € HT pour l’acquisition du logiciel.</w:t>
      </w:r>
    </w:p>
    <w:p>
      <w:pPr>
        <w:pStyle w:val="Titredlib"/>
        <w:rPr>
          <w:b w:val="false"/>
          <w:b w:val="false"/>
          <w:caps w:val="false"/>
          <w:smallCaps w:val="false"/>
          <w:lang w:val="fr-FR" w:eastAsia="ar-SA"/>
        </w:rPr>
      </w:pPr>
      <w:r>
        <w:rPr>
          <w:b w:val="false"/>
          <w:caps w:val="false"/>
          <w:smallCaps w:val="false"/>
          <w:lang w:val="fr-FR" w:eastAsia="ar-SA"/>
        </w:rPr>
      </w:r>
    </w:p>
    <w:p>
      <w:pPr>
        <w:pStyle w:val="Titredlib"/>
        <w:rPr>
          <w:b w:val="false"/>
          <w:b w:val="false"/>
          <w:caps w:val="false"/>
          <w:smallCaps w:val="false"/>
          <w:lang w:val="fr-FR" w:eastAsia="ar-SA"/>
        </w:rPr>
      </w:pPr>
      <w:r>
        <w:rPr>
          <w:b w:val="false"/>
          <w:caps w:val="false"/>
          <w:smallCaps w:val="false"/>
          <w:lang w:val="fr-FR" w:eastAsia="ar-SA"/>
        </w:rPr>
        <w:t>Le conseil municipal après en avoir délibéré, décide à l’unanimité de :</w:t>
      </w:r>
    </w:p>
    <w:p>
      <w:pPr>
        <w:pStyle w:val="Titredlib"/>
        <w:rPr>
          <w:b w:val="false"/>
          <w:b w:val="false"/>
          <w:caps w:val="false"/>
          <w:smallCaps w:val="false"/>
          <w:lang w:val="fr-FR" w:eastAsia="ar-SA"/>
        </w:rPr>
      </w:pPr>
      <w:r>
        <w:rPr>
          <w:b w:val="false"/>
          <w:caps w:val="false"/>
          <w:smallCaps w:val="false"/>
          <w:lang w:val="fr-FR" w:eastAsia="ar-SA"/>
        </w:rPr>
        <w:t>- Autoriser le Maire à signer le devis pour l’acquisition de ce logiciel pour une valeur de 2585 € HT</w:t>
      </w:r>
    </w:p>
    <w:p>
      <w:pPr>
        <w:pStyle w:val="Titredlib"/>
        <w:rPr>
          <w:b w:val="false"/>
          <w:b w:val="false"/>
          <w:caps w:val="false"/>
          <w:smallCaps w:val="false"/>
          <w:lang w:val="fr-FR" w:eastAsia="ar-SA"/>
        </w:rPr>
      </w:pPr>
      <w:r>
        <w:rPr>
          <w:b w:val="false"/>
          <w:caps w:val="false"/>
          <w:smallCaps w:val="false"/>
          <w:lang w:val="fr-FR" w:eastAsia="ar-SA"/>
        </w:rPr>
        <w:t>- Autoriser le Maire à solliciter une subvention auprès du département.</w:t>
      </w:r>
      <w:bookmarkStart w:id="0" w:name="_GoBack"/>
      <w:bookmarkEnd w:id="0"/>
    </w:p>
    <w:p>
      <w:pPr>
        <w:pStyle w:val="Titredlib"/>
        <w:rPr>
          <w:b w:val="false"/>
          <w:b w:val="false"/>
          <w:caps w:val="false"/>
          <w:smallCaps w:val="false"/>
          <w:lang w:val="fr-FR" w:eastAsia="ar-SA"/>
        </w:rPr>
      </w:pPr>
      <w:r>
        <w:rPr>
          <w:b w:val="false"/>
          <w:caps w:val="false"/>
          <w:smallCaps w:val="false"/>
          <w:lang w:val="fr-FR" w:eastAsia="ar-SA"/>
        </w:rPr>
      </w:r>
    </w:p>
    <w:p>
      <w:pPr>
        <w:pStyle w:val="Titredlib"/>
        <w:numPr>
          <w:ilvl w:val="0"/>
          <w:numId w:val="10"/>
        </w:numPr>
        <w:rPr>
          <w:bCs/>
          <w:caps w:val="false"/>
          <w:smallCaps w:val="false"/>
          <w:u w:val="single"/>
          <w:lang w:val="fr-FR" w:eastAsia="ar-SA"/>
        </w:rPr>
      </w:pPr>
      <w:r>
        <w:rPr>
          <w:bCs/>
          <w:caps w:val="false"/>
          <w:smallCaps w:val="false"/>
          <w:u w:val="single"/>
          <w:lang w:val="fr-FR" w:eastAsia="ar-SA"/>
        </w:rPr>
        <w:t>MAGE</w:t>
      </w:r>
    </w:p>
    <w:p>
      <w:pPr>
        <w:pStyle w:val="Titredlib"/>
        <w:rPr>
          <w:b w:val="false"/>
          <w:b w:val="false"/>
          <w:caps w:val="false"/>
          <w:smallCaps w:val="false"/>
          <w:lang w:val="fr-FR" w:eastAsia="ar-SA"/>
        </w:rPr>
      </w:pPr>
      <w:r>
        <w:rPr>
          <w:b w:val="false"/>
          <w:caps w:val="false"/>
          <w:smallCaps w:val="false"/>
          <w:lang w:val="fr-FR" w:eastAsia="ar-SA"/>
        </w:rPr>
        <w:t>M le Maire informe le conseil municipal que la commune adhère à la convention d’assistance technique pour l’assainissement (MAGE) du département. L’assistance technique en matière d’assainissement peut porter sur l’assainissement collectif ou l’aide à maîtrise d’ouvrage, il ne supplée par le travail de gestion et d’exploitation qui reste sous l’entière responsabilité du bénéficiaire. La convention est signé pour 4 ans : 01/01/2021 au 31/12/2024 et le coût est de 408.85€ /an.</w:t>
      </w:r>
    </w:p>
    <w:p>
      <w:pPr>
        <w:pStyle w:val="Titredlib"/>
        <w:rPr>
          <w:b w:val="false"/>
          <w:b w:val="false"/>
          <w:caps w:val="false"/>
          <w:smallCaps w:val="false"/>
          <w:lang w:val="fr-FR" w:eastAsia="ar-SA"/>
        </w:rPr>
      </w:pPr>
      <w:r>
        <w:rPr>
          <w:b w:val="false"/>
          <w:caps w:val="false"/>
          <w:smallCaps w:val="false"/>
          <w:lang w:val="fr-FR" w:eastAsia="ar-SA"/>
        </w:rPr>
        <w:t>Le conseil municipal approuve à l’unanimité cette convention et autorise Monsieur le Maire à la signer.</w:t>
      </w:r>
    </w:p>
    <w:p>
      <w:pPr>
        <w:pStyle w:val="Titredlib"/>
        <w:rPr>
          <w:b w:val="false"/>
          <w:b w:val="false"/>
          <w:caps w:val="false"/>
          <w:smallCaps w:val="false"/>
          <w:lang w:val="fr-FR" w:eastAsia="ar-SA"/>
        </w:rPr>
      </w:pPr>
      <w:r>
        <w:rPr>
          <w:b w:val="false"/>
          <w:caps w:val="false"/>
          <w:smallCaps w:val="false"/>
          <w:lang w:val="fr-FR" w:eastAsia="ar-SA"/>
        </w:rPr>
      </w:r>
    </w:p>
    <w:p>
      <w:pPr>
        <w:pStyle w:val="Titredlib"/>
        <w:rPr>
          <w:rFonts w:cs="Bookman Old Style"/>
          <w:b w:val="false"/>
          <w:b w:val="false"/>
          <w:u w:val="single"/>
        </w:rPr>
      </w:pPr>
      <w:r>
        <w:rPr>
          <w:rFonts w:cs="Bookman Old Style"/>
          <w:u w:val="single"/>
        </w:rPr>
        <w:t>Informations diverses :</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numPr>
          <w:ilvl w:val="0"/>
          <w:numId w:val="3"/>
        </w:numPr>
        <w:jc w:val="both"/>
        <w:rPr>
          <w:rFonts w:ascii="Bookman Old Style" w:hAnsi="Bookman Old Style" w:cs="Bookman Old Style"/>
          <w:sz w:val="20"/>
          <w:szCs w:val="20"/>
        </w:rPr>
      </w:pPr>
      <w:r>
        <w:rPr>
          <w:rFonts w:cs="Bookman Old Style" w:ascii="Bookman Old Style" w:hAnsi="Bookman Old Style"/>
          <w:sz w:val="20"/>
          <w:szCs w:val="20"/>
        </w:rPr>
        <w:t>Auberge : une annonce a été mise sur SOS Village : 10 demandes ont été transmises.</w:t>
      </w:r>
    </w:p>
    <w:p>
      <w:pPr>
        <w:pStyle w:val="Normal"/>
        <w:numPr>
          <w:ilvl w:val="0"/>
          <w:numId w:val="3"/>
        </w:numPr>
        <w:jc w:val="both"/>
        <w:rPr>
          <w:rFonts w:ascii="Bookman Old Style" w:hAnsi="Bookman Old Style" w:cs="Bookman Old Style"/>
          <w:sz w:val="20"/>
          <w:szCs w:val="20"/>
        </w:rPr>
      </w:pPr>
      <w:r>
        <w:rPr>
          <w:rFonts w:cs="Bookman Old Style" w:ascii="Bookman Old Style" w:hAnsi="Bookman Old Style"/>
          <w:sz w:val="20"/>
          <w:szCs w:val="20"/>
        </w:rPr>
        <w:t>Cantonnier : Suite à un accident de travail, Mr Thomas REOLON le remplace à temps plein.</w:t>
      </w:r>
    </w:p>
    <w:p>
      <w:pPr>
        <w:pStyle w:val="Normal"/>
        <w:numPr>
          <w:ilvl w:val="0"/>
          <w:numId w:val="3"/>
        </w:numPr>
        <w:jc w:val="both"/>
        <w:rPr>
          <w:rFonts w:ascii="Bookman Old Style" w:hAnsi="Bookman Old Style" w:cs="Bookman Old Style"/>
          <w:sz w:val="20"/>
          <w:szCs w:val="20"/>
        </w:rPr>
      </w:pPr>
      <w:r>
        <w:rPr>
          <w:rFonts w:cs="Bookman Old Style" w:ascii="Bookman Old Style" w:hAnsi="Bookman Old Style"/>
          <w:sz w:val="20"/>
          <w:szCs w:val="20"/>
        </w:rPr>
        <w:t>Décoration Pâques : un remerciement pour le travail réalisé.</w:t>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La séance est levée à 23 h 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Prochain Conseil Municipal le 1/06/2021</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20 avril 2021</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 w:name="Calibri">
    <w:charset w:val="01"/>
    <w:family w:val="swiss"/>
    <w:pitch w:val="variable"/>
  </w:font>
  <w:font w:name="Franklin Gothic Book">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24 avril 2021,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rFonts w:cs="Bookman Old Styl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Bookman Old Style" w:hAnsi="Bookman Old Style" w:cs="Bookman Old Style" w:hint="default"/>
        <w:rFonts w:cs="Bookman Old Styl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Calibri" w:hAnsi="Calibri" w:cs="Calibri" w:hint="default"/>
        <w:sz w:val="20"/>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Franklin Gothic Book" w:hAnsi="Franklin Gothic Book" w:cs="Franklin Gothic Book"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2"/>
      <w:numFmt w:val="bullet"/>
      <w:lvlText w:val=""/>
      <w:lvlJc w:val="left"/>
      <w:pPr>
        <w:tabs>
          <w:tab w:val="num" w:pos="1080"/>
        </w:tabs>
        <w:ind w:left="1080" w:hanging="360"/>
      </w:pPr>
      <w:rPr>
        <w:rFonts w:ascii="Wingdings" w:hAnsi="Wingdings" w:cs="Wingdings" w:hint="default"/>
        <w:sz w:val="20"/>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5"/>
      <w:numFmt w:val="decimal"/>
      <w:lvlText w:val="%1-"/>
      <w:lvlJc w:val="left"/>
      <w:pPr>
        <w:ind w:left="720" w:hanging="360"/>
      </w:pPr>
      <w:rPr>
        <w:u w:val="singl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TitredlibCar" w:customStyle="1">
    <w:name w:val="Titre délib Car"/>
    <w:link w:val="Titredlib"/>
    <w:qFormat/>
    <w:locked/>
    <w:rsid w:val="002b032a"/>
    <w:rPr>
      <w:rFonts w:ascii="Bookman Old Style" w:hAnsi="Bookman Old Style"/>
      <w:b/>
      <w:caps/>
      <w:lang w:val="x-none" w:eastAsia="x-non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Bookman Old Style" w:hAnsi="Bookman Old Style" w:eastAsia="Times New Roman" w:cs="Times New Roman"/>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Calibri"/>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ascii="Bookman Old Style" w:hAnsi="Bookman Old Style" w:eastAsia="Times New Roman" w:cs="Times New Roman"/>
      <w:sz w:val="20"/>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Times New Roman" w:cs="Times New Roman"/>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b/>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Titredlib" w:customStyle="1">
    <w:name w:val="Titre délib"/>
    <w:basedOn w:val="Normal"/>
    <w:link w:val="TitredlibCar"/>
    <w:qFormat/>
    <w:rsid w:val="002b032a"/>
    <w:pPr>
      <w:keepNext w:val="true"/>
      <w:suppressAutoHyphens w:val="false"/>
      <w:spacing w:before="0" w:after="120"/>
      <w:jc w:val="both"/>
      <w:outlineLvl w:val="0"/>
    </w:pPr>
    <w:rPr>
      <w:rFonts w:ascii="Bookman Old Style" w:hAnsi="Bookman Old Style"/>
      <w:b/>
      <w:caps/>
      <w:sz w:val="20"/>
      <w:szCs w:val="20"/>
      <w:lang w:val="x-none" w:eastAsia="x-non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3034</TotalTime>
  <Application>LibreOffice/6.1.6.3$Windows_X86_64 LibreOffice_project/5896ab1714085361c45cf540f76f60673dd96a72</Application>
  <Pages>9</Pages>
  <Words>1325</Words>
  <Characters>6863</Characters>
  <CharactersWithSpaces>8065</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Mairie Saint Laurent</cp:lastModifiedBy>
  <cp:lastPrinted>2021-04-26T08:56:00Z</cp:lastPrinted>
  <dcterms:modified xsi:type="dcterms:W3CDTF">2021-04-26T08:56:00Z</dcterms:modified>
  <cp:revision>56</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